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F6" w:rsidRPr="00663BF6" w:rsidRDefault="00663BF6" w:rsidP="00663BF6">
      <w:pPr>
        <w:spacing w:after="0"/>
        <w:jc w:val="center"/>
        <w:rPr>
          <w:b/>
          <w:lang w:val="ro-RO"/>
        </w:rPr>
      </w:pPr>
      <w:r w:rsidRPr="00663BF6">
        <w:rPr>
          <w:b/>
          <w:lang w:val="ro-RO"/>
        </w:rPr>
        <w:t>Non-document ROMÂNIA</w:t>
      </w:r>
    </w:p>
    <w:p w:rsidR="00663BF6" w:rsidRPr="00663BF6" w:rsidRDefault="00663BF6" w:rsidP="00663BF6">
      <w:pPr>
        <w:spacing w:after="0"/>
        <w:jc w:val="center"/>
        <w:rPr>
          <w:b/>
          <w:lang w:val="ro-RO"/>
        </w:rPr>
      </w:pPr>
      <w:r w:rsidRPr="00663BF6">
        <w:rPr>
          <w:b/>
          <w:lang w:val="ro-RO"/>
        </w:rPr>
        <w:t>Aspecte generale privind evoluţia viitorului Program Cadru</w:t>
      </w:r>
    </w:p>
    <w:p w:rsidR="00663BF6" w:rsidRPr="00663BF6" w:rsidRDefault="00663BF6" w:rsidP="00663BF6">
      <w:pPr>
        <w:spacing w:after="0"/>
        <w:jc w:val="center"/>
        <w:rPr>
          <w:b/>
          <w:lang w:val="ro-RO"/>
        </w:rPr>
      </w:pPr>
    </w:p>
    <w:p w:rsidR="00663BF6" w:rsidRPr="00663BF6" w:rsidRDefault="00663BF6" w:rsidP="00663BF6">
      <w:pPr>
        <w:spacing w:after="0"/>
        <w:rPr>
          <w:lang w:val="ro-RO"/>
        </w:rPr>
      </w:pPr>
      <w:r w:rsidRPr="00663BF6">
        <w:rPr>
          <w:lang w:val="ro-RO"/>
        </w:rPr>
        <w:t xml:space="preserve"> </w:t>
      </w:r>
    </w:p>
    <w:p w:rsidR="00663BF6" w:rsidRPr="00663BF6" w:rsidRDefault="00663BF6" w:rsidP="00663BF6">
      <w:pPr>
        <w:spacing w:after="0"/>
        <w:rPr>
          <w:lang w:val="ro-RO"/>
        </w:rPr>
      </w:pPr>
      <w:r w:rsidRPr="00663BF6">
        <w:rPr>
          <w:lang w:val="ro-RO"/>
        </w:rPr>
        <w:t xml:space="preserve"> </w:t>
      </w:r>
    </w:p>
    <w:p w:rsidR="00663BF6" w:rsidRPr="00663BF6" w:rsidRDefault="00663BF6" w:rsidP="00663BF6">
      <w:pPr>
        <w:spacing w:after="0"/>
        <w:rPr>
          <w:b/>
          <w:lang w:val="ro-RO"/>
        </w:rPr>
      </w:pPr>
      <w:r w:rsidRPr="00663BF6">
        <w:rPr>
          <w:b/>
          <w:lang w:val="ro-RO"/>
        </w:rPr>
        <w:t xml:space="preserve">1.  </w:t>
      </w:r>
      <w:r>
        <w:rPr>
          <w:b/>
          <w:lang w:val="ro-RO"/>
        </w:rPr>
        <w:t>Sinteză</w:t>
      </w:r>
    </w:p>
    <w:p w:rsidR="00663BF6" w:rsidRPr="00663BF6" w:rsidRDefault="00663BF6" w:rsidP="00663BF6">
      <w:pPr>
        <w:spacing w:after="0"/>
        <w:rPr>
          <w:lang w:val="ro-RO"/>
        </w:rPr>
      </w:pPr>
      <w:r w:rsidRPr="00663BF6">
        <w:rPr>
          <w:lang w:val="ro-RO"/>
        </w:rPr>
        <w:t xml:space="preserve"> </w:t>
      </w:r>
    </w:p>
    <w:p w:rsidR="00663BF6" w:rsidRDefault="00663BF6" w:rsidP="00663BF6">
      <w:pPr>
        <w:spacing w:after="0"/>
        <w:jc w:val="both"/>
        <w:rPr>
          <w:lang w:val="ro-RO"/>
        </w:rPr>
      </w:pPr>
      <w:r>
        <w:rPr>
          <w:lang w:val="ro-RO"/>
        </w:rPr>
        <w:t>Româ</w:t>
      </w:r>
      <w:r w:rsidRPr="00663BF6">
        <w:rPr>
          <w:lang w:val="ro-RO"/>
        </w:rPr>
        <w:t xml:space="preserve">nia </w:t>
      </w:r>
      <w:r>
        <w:rPr>
          <w:lang w:val="ro-RO"/>
        </w:rPr>
        <w:t>susţine „Documentul Comun de Poziţie al celor 12 state membre pentru viitorul Program Cadru”, prezentat Comisiei Europene la inceputul lunii februarie 2011. Prezentul document conţine punctele noaste de vedere cu privire la câteva aspecte suplimentare legate de evoluţia viitorului Program Cadru (PC). În funcţie de context, în vederea evidenţierii mai multor aspecte care sunt de interes special pentru România, s-ar putea să ne referim la unele puncte prezentate în documentul comun de poziţie al celor 12 state membre UE.</w:t>
      </w:r>
    </w:p>
    <w:p w:rsidR="00663BF6" w:rsidRDefault="00663BF6" w:rsidP="00663BF6">
      <w:pPr>
        <w:spacing w:after="0"/>
        <w:jc w:val="both"/>
        <w:rPr>
          <w:lang w:val="ro-RO"/>
        </w:rPr>
      </w:pPr>
    </w:p>
    <w:p w:rsidR="00663BF6" w:rsidRPr="00663BF6" w:rsidRDefault="00663BF6" w:rsidP="00663BF6">
      <w:pPr>
        <w:spacing w:after="0"/>
        <w:jc w:val="both"/>
        <w:rPr>
          <w:lang w:val="ro-RO"/>
        </w:rPr>
      </w:pPr>
      <w:r>
        <w:rPr>
          <w:lang w:val="ro-RO"/>
        </w:rPr>
        <w:t>Susţinem în totalitate propunere Raportului intermediar de evaluare PC7 în care se afirmă că „este important să se creeze instrumente suplimentare pentru îmbunătăţirea participării UE12 la proiectele PC, dar în acelaşi timp trebuie să se evite acordarea de procente sau de alte forme directe de discriminare pozitivă” (pagina 47). Dimensiunea regional a Programului Cadru ar trebui crescută în scopul de a se consolida potenţialul şi capacităţile de cercetare, în special cele din cadrul regiunilor de convergenţă. Disparităţile actuale cu privire la finanţarea comunităţii de Cercetare-Dezvoltare, existente între regiunile UE, ar trebui atenuate.</w:t>
      </w:r>
      <w:r w:rsidRPr="00663BF6">
        <w:rPr>
          <w:lang w:val="ro-RO"/>
        </w:rPr>
        <w:t xml:space="preserve"> </w:t>
      </w:r>
    </w:p>
    <w:p w:rsidR="00663BF6" w:rsidRDefault="00663BF6" w:rsidP="00663BF6">
      <w:pPr>
        <w:spacing w:after="0"/>
        <w:jc w:val="both"/>
        <w:rPr>
          <w:lang w:val="ro-RO"/>
        </w:rPr>
      </w:pPr>
    </w:p>
    <w:p w:rsidR="00E958E6" w:rsidRDefault="00663BF6" w:rsidP="00E958E6">
      <w:pPr>
        <w:spacing w:after="0"/>
        <w:jc w:val="both"/>
        <w:rPr>
          <w:lang w:val="ro-RO"/>
        </w:rPr>
      </w:pPr>
      <w:r>
        <w:rPr>
          <w:lang w:val="ro-RO"/>
        </w:rPr>
        <w:t xml:space="preserve">Acest document a fost redactat de către Autoritatea Naţională de Cercetare Ştiinţifică pe baza informaţiilor oferite de către delegaţii români din Comitetele Programului PC7, de către opiniile preliminare ale Comitetului Consultativ pentru Cercetare-Dezvoltare-Inovare, precum şi de către Consiliul Naţional pentru Educaţie Superioară şi Cercetare Ştiinţifică, din comentariile </w:t>
      </w:r>
      <w:r w:rsidR="00E958E6">
        <w:rPr>
          <w:lang w:val="ro-RO"/>
        </w:rPr>
        <w:t>Biroului de Legătură Ştiinţă şi Tehnologie de la Bruxelles şi de către Misiunea Permanentă a României la UE, precum şi din rezultatele unui chestionar deschis transmis comunităţii ştiinţifice.</w:t>
      </w:r>
    </w:p>
    <w:p w:rsidR="00E958E6" w:rsidRDefault="00E958E6" w:rsidP="00E958E6">
      <w:pPr>
        <w:spacing w:after="0"/>
        <w:jc w:val="both"/>
        <w:rPr>
          <w:lang w:val="ro-RO"/>
        </w:rPr>
      </w:pPr>
    </w:p>
    <w:p w:rsidR="00E958E6" w:rsidRDefault="00E958E6" w:rsidP="00E958E6">
      <w:pPr>
        <w:spacing w:after="0"/>
        <w:jc w:val="both"/>
        <w:rPr>
          <w:b/>
          <w:lang w:val="ro-RO"/>
        </w:rPr>
      </w:pPr>
      <w:r>
        <w:rPr>
          <w:b/>
          <w:lang w:val="ro-RO"/>
        </w:rPr>
        <w:t>Mesaje cheie:</w:t>
      </w:r>
    </w:p>
    <w:p w:rsidR="00E958E6" w:rsidRDefault="00E958E6" w:rsidP="00E958E6">
      <w:pPr>
        <w:pStyle w:val="ListParagraph"/>
        <w:numPr>
          <w:ilvl w:val="0"/>
          <w:numId w:val="1"/>
        </w:numPr>
        <w:spacing w:after="0"/>
        <w:jc w:val="both"/>
        <w:rPr>
          <w:lang w:val="ro-RO"/>
        </w:rPr>
      </w:pPr>
      <w:r>
        <w:rPr>
          <w:lang w:val="ro-RO"/>
        </w:rPr>
        <w:t>Excelenţa reprezintă un criteriu vital pentru viitorul PC, completată de  alte principii precum incluziunea, eficienţa costurilor, relevanţa cercetării şi contribuţia la dezvoltare economică şi la creşterea locurilor de muncă.</w:t>
      </w:r>
    </w:p>
    <w:p w:rsidR="00E958E6" w:rsidRDefault="00E958E6" w:rsidP="00E958E6">
      <w:pPr>
        <w:pStyle w:val="ListParagraph"/>
        <w:numPr>
          <w:ilvl w:val="0"/>
          <w:numId w:val="1"/>
        </w:numPr>
        <w:spacing w:after="0"/>
        <w:jc w:val="both"/>
        <w:rPr>
          <w:lang w:val="ro-RO"/>
        </w:rPr>
      </w:pPr>
      <w:r>
        <w:rPr>
          <w:lang w:val="ro-RO"/>
        </w:rPr>
        <w:t>O mai bună coordonare la nivelul UE şi mai puternice politici europene de cercetare şi inovare, cu impact mai mare asupra economiei europene şi cu efecte mai mari de echilibrare a investiţiilor publice şi private.</w:t>
      </w:r>
    </w:p>
    <w:p w:rsidR="00E958E6" w:rsidRDefault="00E958E6" w:rsidP="00E958E6">
      <w:pPr>
        <w:pStyle w:val="ListParagraph"/>
        <w:numPr>
          <w:ilvl w:val="0"/>
          <w:numId w:val="1"/>
        </w:numPr>
        <w:spacing w:after="0"/>
        <w:jc w:val="both"/>
        <w:rPr>
          <w:lang w:val="ro-RO"/>
        </w:rPr>
      </w:pPr>
      <w:r>
        <w:rPr>
          <w:lang w:val="ro-RO"/>
        </w:rPr>
        <w:t>Diseminarea excelenţei pe teritoriul Europei pentru o dezvoltare omogenă şi echilibrată a Spaţiului European de Cercetare (SEC), prin aceasta reducându-se diferenţele actuale dintre statele membre, din punct de vedere a capacităţii de cercetare.</w:t>
      </w:r>
    </w:p>
    <w:p w:rsidR="00E958E6" w:rsidRDefault="00E958E6" w:rsidP="00E958E6">
      <w:pPr>
        <w:pStyle w:val="ListParagraph"/>
        <w:numPr>
          <w:ilvl w:val="0"/>
          <w:numId w:val="1"/>
        </w:numPr>
        <w:spacing w:after="0"/>
        <w:jc w:val="both"/>
        <w:rPr>
          <w:lang w:val="ro-RO"/>
        </w:rPr>
      </w:pPr>
      <w:r>
        <w:rPr>
          <w:lang w:val="ro-RO"/>
        </w:rPr>
        <w:lastRenderedPageBreak/>
        <w:t>O mai bună valorificare a bunurilor umane şi fizice în toată Europa pentru o exploatare eficientă a tuturor resurselor disponibile în cadrul SEC, precum şi utilizarea avantajelor competitive care există în toate regiunile europene.</w:t>
      </w:r>
    </w:p>
    <w:p w:rsidR="00E958E6" w:rsidRDefault="00E958E6" w:rsidP="00E958E6">
      <w:pPr>
        <w:pStyle w:val="ListParagraph"/>
        <w:numPr>
          <w:ilvl w:val="0"/>
          <w:numId w:val="1"/>
        </w:numPr>
        <w:spacing w:after="0"/>
        <w:jc w:val="both"/>
        <w:rPr>
          <w:lang w:val="ro-RO"/>
        </w:rPr>
      </w:pPr>
      <w:r>
        <w:rPr>
          <w:lang w:val="ro-RO"/>
        </w:rPr>
        <w:t>Rol principal al inovării în obţinerea competitivităţii europene şi prin aceasta în răspunsul dat marilor provocări.</w:t>
      </w:r>
    </w:p>
    <w:p w:rsidR="00E958E6" w:rsidRDefault="00E958E6" w:rsidP="00E958E6">
      <w:pPr>
        <w:pStyle w:val="ListParagraph"/>
        <w:numPr>
          <w:ilvl w:val="0"/>
          <w:numId w:val="1"/>
        </w:numPr>
        <w:spacing w:after="0"/>
        <w:jc w:val="both"/>
        <w:rPr>
          <w:lang w:val="ro-RO"/>
        </w:rPr>
      </w:pPr>
      <w:r>
        <w:rPr>
          <w:lang w:val="ro-RO"/>
        </w:rPr>
        <w:t>Încurajarea unei participări crescute a IMM-urilor ca factor cheie al inovării.</w:t>
      </w:r>
    </w:p>
    <w:p w:rsidR="00A02063" w:rsidRPr="00E958E6" w:rsidRDefault="00A02063" w:rsidP="00E958E6">
      <w:pPr>
        <w:pStyle w:val="ListParagraph"/>
        <w:numPr>
          <w:ilvl w:val="0"/>
          <w:numId w:val="1"/>
        </w:numPr>
        <w:spacing w:after="0"/>
        <w:jc w:val="both"/>
        <w:rPr>
          <w:lang w:val="ro-RO"/>
        </w:rPr>
      </w:pPr>
      <w:r>
        <w:rPr>
          <w:lang w:val="ro-RO"/>
        </w:rPr>
        <w:t xml:space="preserve">Un instrument de back-up multinaţional pentru viitorul PC, pe modelul JPI, pentru proiectele cu punctaj mare cu înaltă valoare europeană adăugată, care nu sunt reţinute pentru finanţare în viitoarele apeluri pentru PC din cauza absenţei resurselor financiare. </w:t>
      </w:r>
    </w:p>
    <w:p w:rsidR="00E958E6" w:rsidRPr="00E958E6" w:rsidRDefault="00E958E6" w:rsidP="00E958E6">
      <w:pPr>
        <w:spacing w:after="0"/>
        <w:jc w:val="both"/>
        <w:rPr>
          <w:lang w:val="ro-RO"/>
        </w:rPr>
      </w:pPr>
    </w:p>
    <w:p w:rsidR="00E958E6" w:rsidRPr="00A02063" w:rsidRDefault="00E958E6" w:rsidP="00E958E6">
      <w:pPr>
        <w:spacing w:after="0"/>
        <w:jc w:val="both"/>
        <w:rPr>
          <w:b/>
          <w:lang w:val="ro-RO"/>
        </w:rPr>
      </w:pPr>
      <w:r w:rsidRPr="00A02063">
        <w:rPr>
          <w:b/>
          <w:lang w:val="ro-RO"/>
        </w:rPr>
        <w:t xml:space="preserve">2. </w:t>
      </w:r>
      <w:r w:rsidR="00A02063">
        <w:rPr>
          <w:b/>
          <w:lang w:val="ro-RO"/>
        </w:rPr>
        <w:t>Principii de bază</w:t>
      </w:r>
    </w:p>
    <w:p w:rsidR="00A02063" w:rsidRDefault="00A02063" w:rsidP="00E958E6">
      <w:pPr>
        <w:spacing w:after="0"/>
        <w:jc w:val="both"/>
        <w:rPr>
          <w:lang w:val="ro-RO"/>
        </w:rPr>
      </w:pPr>
    </w:p>
    <w:p w:rsidR="00A02063" w:rsidRDefault="00A02063" w:rsidP="00E958E6">
      <w:pPr>
        <w:spacing w:after="0"/>
        <w:jc w:val="both"/>
        <w:rPr>
          <w:lang w:val="ro-RO"/>
        </w:rPr>
      </w:pPr>
      <w:r>
        <w:rPr>
          <w:lang w:val="ro-RO"/>
        </w:rPr>
        <w:t>Al 7-lea Program Cadru reprezintă principalul instrument pentru implementarea politicii comunitare în cadrul cercetării. În timp ce continuă finanţarea schemelor clasice precum, de exemplu, proiectele de cercetare în colaborare, Acţiunile Marie Curie şi CSA-urile, PC7 susţine şi dezvoltarea unei serii de instrumente noi – programele art 185, Iniţiativele Comune Tehnologice, RSFF – şi a contribuit la înfiinţarea Consiliului European de Cercetare şi Institutului European pentru Inovare şi Tehnologie. Domeniul de activitate extins şi varietatea mai mare de instrumente au fost facilitate prin creşterea amplă a bugetului PC7, comparativ cu predecesorul său PC6 (2002-2006). Conform Raportului interimar de evaluare a Programului, PC7 „aduce o contribuţie semnificativă la ştiinţa europeană şi la dezvoltarea Spaţiului European al Cercetării (pagina 7). PC7 se construieşte pe realizările anterior şi, la rândul său, ar trebui să pregătească drumul pentru viitorul PC.</w:t>
      </w:r>
    </w:p>
    <w:p w:rsidR="00A02063" w:rsidRDefault="00A02063" w:rsidP="00E958E6">
      <w:pPr>
        <w:spacing w:after="0"/>
        <w:jc w:val="both"/>
        <w:rPr>
          <w:lang w:val="ro-RO"/>
        </w:rPr>
      </w:pPr>
    </w:p>
    <w:p w:rsidR="00A02063" w:rsidRDefault="00A02063" w:rsidP="00E958E6">
      <w:pPr>
        <w:spacing w:after="0"/>
        <w:jc w:val="both"/>
        <w:rPr>
          <w:lang w:val="ro-RO"/>
        </w:rPr>
      </w:pPr>
      <w:r>
        <w:rPr>
          <w:lang w:val="ro-RO"/>
        </w:rPr>
        <w:t xml:space="preserve">Cu toate acestea, performanţa noilor state membre din PC7 este mai mică decât cea din UE15. În Raportul de evaluare s-au identificat două probleme: procentul acordat participanţilor din UE12 din toate proiectele este mai mic decât cel alocat pentru participanţii din UE15 (pagina 46). Grupul de experţi avertizează împotriva </w:t>
      </w:r>
      <w:r w:rsidR="00140AC9">
        <w:rPr>
          <w:lang w:val="ro-RO"/>
        </w:rPr>
        <w:t>agravării unui dezechilibru care ar inhiba viitoare creare de cunoaştere (pagina 47) şi care va adânci diferenţele socio-economice existente între regiunile UE (probleme care sunt deja agravate de către criza financiară în derulare).</w:t>
      </w:r>
    </w:p>
    <w:p w:rsidR="00140AC9" w:rsidRDefault="00140AC9" w:rsidP="00E958E6">
      <w:pPr>
        <w:spacing w:after="0"/>
        <w:jc w:val="both"/>
        <w:rPr>
          <w:lang w:val="ro-RO"/>
        </w:rPr>
      </w:pPr>
    </w:p>
    <w:p w:rsidR="00140AC9" w:rsidRPr="00A02063" w:rsidRDefault="00140AC9" w:rsidP="00140AC9">
      <w:pPr>
        <w:spacing w:after="0"/>
        <w:jc w:val="both"/>
        <w:rPr>
          <w:lang w:val="ro-RO"/>
        </w:rPr>
      </w:pPr>
      <w:r>
        <w:rPr>
          <w:lang w:val="ro-RO"/>
        </w:rPr>
        <w:t>Extinderea la 27 de state membre a acordat UE o creştere semnificativă a masei sale critice, ca dimensiune, şi a potenţialului uman ceea ce a transformat UE într-un jucător cheie pe scena mondială. În acelaşi timp, peisajul cercetării din UE27 a devenit mai neregulat, comparativ cu omogenitatea din UE15. În opinia noastră, politica europeană de cercetare şi instrumentele sale au reacţionat lent la provocările puse de extinderea UE. Concentrarea numai pe finanţarea bazată pe excelenţă lasă întrebări fără răspuns cu privire la promovarea utilizării eficiente de resurse, la maximizarea potenţialului, la combaterea disparităţilor în creştere, la evitarea excluziunii sociale. Mai mult ca oricând, considerăm necesare acţiuni la nivel UE care să rezolve aceste probleme.</w:t>
      </w:r>
    </w:p>
    <w:p w:rsidR="00A02063" w:rsidRDefault="00A02063" w:rsidP="00A02063">
      <w:pPr>
        <w:spacing w:after="0"/>
        <w:jc w:val="both"/>
        <w:rPr>
          <w:lang w:val="ro-RO"/>
        </w:rPr>
      </w:pPr>
    </w:p>
    <w:p w:rsidR="00140AC9" w:rsidRDefault="00140AC9" w:rsidP="00A02063">
      <w:pPr>
        <w:spacing w:after="0"/>
        <w:jc w:val="both"/>
        <w:rPr>
          <w:lang w:val="ro-RO"/>
        </w:rPr>
      </w:pPr>
      <w:r>
        <w:rPr>
          <w:lang w:val="ro-RO"/>
        </w:rPr>
        <w:lastRenderedPageBreak/>
        <w:t>Totuşi, Programul Cadru este un instrument al politicii europene care trebuie să trateze problemele europene pentru toate statele membre şi care trebuie să ofere mediul  necesar pentru funcţionarea reală a SEC.</w:t>
      </w:r>
    </w:p>
    <w:p w:rsidR="00140AC9" w:rsidRDefault="00140AC9" w:rsidP="00140AC9">
      <w:pPr>
        <w:spacing w:after="0"/>
        <w:jc w:val="both"/>
        <w:rPr>
          <w:lang w:val="ro-RO"/>
        </w:rPr>
      </w:pPr>
    </w:p>
    <w:p w:rsidR="00140AC9" w:rsidRDefault="00140AC9" w:rsidP="00117791">
      <w:pPr>
        <w:spacing w:after="0"/>
        <w:jc w:val="both"/>
        <w:rPr>
          <w:lang w:val="ro-RO"/>
        </w:rPr>
      </w:pPr>
      <w:r>
        <w:rPr>
          <w:lang w:val="ro-RO"/>
        </w:rPr>
        <w:t>Din 2005-2006 de când s-a realizat elaborarea PC7, noile orientări ale politicii s-au produs pe scena europeană. Începând cu Consiliul informal al Competitivităţii de la Ljubljana</w:t>
      </w:r>
      <w:r w:rsidR="00117791">
        <w:rPr>
          <w:lang w:val="ro-RO"/>
        </w:rPr>
        <w:t xml:space="preserve">, politica europeană de cercetare s-a concentrat pe consolidarea Spaţiului European al Cercetării pe baza a cinci piloni: programare comună, infrastructurile europene de cercetare, diseminarea de cunoaştere şi pe parteneriatul dintre cercetători şi cooperarea internaţională. Obiectivele politicii de cercetare europeană cuprind acum o arie mult mai mare de problematici. </w:t>
      </w:r>
    </w:p>
    <w:p w:rsidR="00117791" w:rsidRDefault="00117791" w:rsidP="00117791">
      <w:pPr>
        <w:spacing w:after="0"/>
        <w:jc w:val="both"/>
        <w:rPr>
          <w:lang w:val="ro-RO"/>
        </w:rPr>
      </w:pPr>
      <w:r>
        <w:rPr>
          <w:lang w:val="ro-RO"/>
        </w:rPr>
        <w:br/>
        <w:t xml:space="preserve">SEC ar trebui să ofere o oportunitate pentru creşterea excelenţei şi competitivitate prin utilizarea la maxim a tuturor resurselor din Europa, evitându-se polarizarea internă şi competiţia nesănătoasă. SEC ar trebui să devină un spaţiu de oportunităţi egale, un spaţiu în care capacităţile, resursele umane şi know-how-ul sunt, pe cât de mult posibil, distribuite omogen. Un SEC competitiv şi armonios se poate construi doar prin politici puternice şi integratoare la nivel UE de cercetare şi inovare. </w:t>
      </w:r>
    </w:p>
    <w:p w:rsidR="00117791" w:rsidRDefault="00117791" w:rsidP="00117791">
      <w:pPr>
        <w:spacing w:after="0"/>
        <w:jc w:val="both"/>
        <w:rPr>
          <w:lang w:val="ro-RO"/>
        </w:rPr>
      </w:pPr>
    </w:p>
    <w:p w:rsidR="00117791" w:rsidRDefault="00117791" w:rsidP="00117791">
      <w:pPr>
        <w:spacing w:after="0"/>
        <w:jc w:val="both"/>
        <w:rPr>
          <w:lang w:val="ro-RO"/>
        </w:rPr>
      </w:pPr>
      <w:r>
        <w:rPr>
          <w:lang w:val="ro-RO"/>
        </w:rPr>
        <w:t xml:space="preserve">Dacă luăm în considerare şi Strategia UE2020 şi a sa Iniţiativă Stindard Unională pentru Inovare, care solicită o abordare integrată a tuturor politicilor relevante pentru inovaţie, în special a politicilor de cercetare şi educaţie, este clar că „o măsură pentru toate” nu mai reprezintă o soluţie. </w:t>
      </w:r>
    </w:p>
    <w:p w:rsidR="00117791" w:rsidRDefault="00117791" w:rsidP="00117791">
      <w:pPr>
        <w:spacing w:after="0"/>
        <w:jc w:val="both"/>
        <w:rPr>
          <w:lang w:val="ro-RO"/>
        </w:rPr>
      </w:pPr>
    </w:p>
    <w:p w:rsidR="006A04A0" w:rsidRDefault="006A04A0" w:rsidP="006A04A0">
      <w:pPr>
        <w:spacing w:after="0"/>
        <w:jc w:val="both"/>
        <w:rPr>
          <w:lang w:val="ro-RO"/>
        </w:rPr>
      </w:pPr>
      <w:r>
        <w:rPr>
          <w:lang w:val="ro-RO"/>
        </w:rPr>
        <w:t xml:space="preserve">În timp ce se menţin standarde înalte şi se stabiles agende ambiţioase, politica europeană de cercetare ar trebui să se ocupe de tot spectrul de sisteme existente de cercetare şi inovare, luând în consideraţie diferitele puncte de debut ale statelor membre. Programul Cadru reprezintă instrumentul cheie conducătore pentru transformarea SEC într-un spaţiu mai atractiv şi mai omogen dezvoltat. </w:t>
      </w:r>
    </w:p>
    <w:p w:rsidR="006A04A0" w:rsidRDefault="006A04A0" w:rsidP="006A04A0">
      <w:pPr>
        <w:spacing w:after="0"/>
        <w:jc w:val="both"/>
        <w:rPr>
          <w:lang w:val="ro-RO"/>
        </w:rPr>
      </w:pPr>
    </w:p>
    <w:p w:rsidR="006A04A0" w:rsidRDefault="006A04A0" w:rsidP="006A04A0">
      <w:pPr>
        <w:spacing w:after="0"/>
        <w:jc w:val="both"/>
        <w:rPr>
          <w:lang w:val="ro-RO"/>
        </w:rPr>
      </w:pPr>
      <w:r>
        <w:rPr>
          <w:lang w:val="ro-RO"/>
        </w:rPr>
        <w:t>În opinia noastră, următoarele principii de bază ar trebui să susţină construcţia viitorului PC:</w:t>
      </w:r>
    </w:p>
    <w:p w:rsidR="006A04A0" w:rsidRDefault="006A04A0" w:rsidP="006A04A0">
      <w:pPr>
        <w:pStyle w:val="ListParagraph"/>
        <w:numPr>
          <w:ilvl w:val="0"/>
          <w:numId w:val="2"/>
        </w:numPr>
        <w:spacing w:after="0"/>
        <w:jc w:val="both"/>
        <w:rPr>
          <w:lang w:val="ro-RO"/>
        </w:rPr>
      </w:pPr>
      <w:r>
        <w:rPr>
          <w:lang w:val="ro-RO"/>
        </w:rPr>
        <w:t>Să se distribuie excelenţă pe teritoriul european pentru o dezvoltare omogenă şi echilibrată a Spaţiului European al Cercetării, prin aceasta reducându-se actualele diferenţe din punct de vedere al capacităţii de cercetare dintre statele membre.</w:t>
      </w:r>
    </w:p>
    <w:p w:rsidR="006A04A0" w:rsidRDefault="006A04A0" w:rsidP="006A04A0">
      <w:pPr>
        <w:pStyle w:val="ListParagraph"/>
        <w:numPr>
          <w:ilvl w:val="0"/>
          <w:numId w:val="2"/>
        </w:numPr>
        <w:spacing w:after="0"/>
        <w:jc w:val="both"/>
        <w:rPr>
          <w:lang w:val="ro-RO"/>
        </w:rPr>
      </w:pPr>
      <w:r>
        <w:rPr>
          <w:lang w:val="ro-RO"/>
        </w:rPr>
        <w:t>Utilizarea potenţialului integral al statelor membre pentru creşterea competitivităţii bazate pe cercetare şi inovare în toate regiunile UE.</w:t>
      </w:r>
    </w:p>
    <w:p w:rsidR="006A04A0" w:rsidRDefault="006A04A0" w:rsidP="006A04A0">
      <w:pPr>
        <w:pStyle w:val="ListParagraph"/>
        <w:numPr>
          <w:ilvl w:val="0"/>
          <w:numId w:val="2"/>
        </w:numPr>
        <w:spacing w:after="0"/>
        <w:jc w:val="both"/>
        <w:rPr>
          <w:lang w:val="ro-RO"/>
        </w:rPr>
      </w:pPr>
      <w:r>
        <w:rPr>
          <w:lang w:val="ro-RO"/>
        </w:rPr>
        <w:t>Susţinerea integrării şi creşterea cooperării cu statele/regiunile cu sisteme mai puţin intensive de CD.</w:t>
      </w:r>
    </w:p>
    <w:p w:rsidR="006A04A0" w:rsidRDefault="006A04A0" w:rsidP="006A04A0">
      <w:pPr>
        <w:pStyle w:val="ListParagraph"/>
        <w:numPr>
          <w:ilvl w:val="0"/>
          <w:numId w:val="2"/>
        </w:numPr>
        <w:spacing w:after="0"/>
        <w:jc w:val="both"/>
        <w:rPr>
          <w:lang w:val="ro-RO"/>
        </w:rPr>
      </w:pPr>
      <w:r>
        <w:rPr>
          <w:lang w:val="ro-RO"/>
        </w:rPr>
        <w:t>Stabilirea unei „diviziuni clare a muncii” între ceea ce este realizat la nivel UE şi ceea ce este preluat în programele naţionale sau regionale pentru construirea SEC şi pentru evitarea duplicării eforturilor.</w:t>
      </w:r>
    </w:p>
    <w:p w:rsidR="006A04A0" w:rsidRDefault="006A04A0" w:rsidP="006A04A0">
      <w:pPr>
        <w:pStyle w:val="ListParagraph"/>
        <w:numPr>
          <w:ilvl w:val="0"/>
          <w:numId w:val="2"/>
        </w:numPr>
        <w:spacing w:after="0"/>
        <w:jc w:val="both"/>
        <w:rPr>
          <w:lang w:val="ro-RO"/>
        </w:rPr>
      </w:pPr>
      <w:r>
        <w:rPr>
          <w:lang w:val="ro-RO"/>
        </w:rPr>
        <w:t>Creşterea participării IMM-urilor în viitorul PC ca factor cheie al inovării.</w:t>
      </w:r>
    </w:p>
    <w:p w:rsidR="006A04A0" w:rsidRDefault="006A04A0" w:rsidP="006A04A0">
      <w:pPr>
        <w:pStyle w:val="ListParagraph"/>
        <w:numPr>
          <w:ilvl w:val="0"/>
          <w:numId w:val="2"/>
        </w:numPr>
        <w:spacing w:after="0"/>
        <w:jc w:val="both"/>
        <w:rPr>
          <w:lang w:val="ro-RO"/>
        </w:rPr>
      </w:pPr>
      <w:r>
        <w:rPr>
          <w:lang w:val="ro-RO"/>
        </w:rPr>
        <w:t>Utilizarea exerciţiilor de predictibilitate europene pentru susţinerea deciziilor strategice pe termen lung.</w:t>
      </w:r>
    </w:p>
    <w:p w:rsidR="006A04A0" w:rsidRDefault="006A04A0" w:rsidP="006A04A0">
      <w:pPr>
        <w:pStyle w:val="ListParagraph"/>
        <w:numPr>
          <w:ilvl w:val="0"/>
          <w:numId w:val="2"/>
        </w:numPr>
        <w:spacing w:after="0"/>
        <w:jc w:val="both"/>
        <w:rPr>
          <w:lang w:val="ro-RO"/>
        </w:rPr>
      </w:pPr>
      <w:r>
        <w:rPr>
          <w:lang w:val="ro-RO"/>
        </w:rPr>
        <w:t>Creşterea eficienţei costurilor</w:t>
      </w:r>
    </w:p>
    <w:p w:rsidR="006A04A0" w:rsidRDefault="006A04A0" w:rsidP="006A04A0">
      <w:pPr>
        <w:pStyle w:val="ListParagraph"/>
        <w:numPr>
          <w:ilvl w:val="0"/>
          <w:numId w:val="2"/>
        </w:numPr>
        <w:spacing w:after="0"/>
        <w:jc w:val="both"/>
        <w:rPr>
          <w:lang w:val="ro-RO"/>
        </w:rPr>
      </w:pPr>
      <w:r>
        <w:rPr>
          <w:lang w:val="ro-RO"/>
        </w:rPr>
        <w:lastRenderedPageBreak/>
        <w:t>Promovarea unei abordări bazate pe încredere.</w:t>
      </w:r>
    </w:p>
    <w:p w:rsidR="006A04A0" w:rsidRPr="006A04A0" w:rsidRDefault="006A04A0" w:rsidP="006A04A0">
      <w:pPr>
        <w:pStyle w:val="ListParagraph"/>
        <w:numPr>
          <w:ilvl w:val="0"/>
          <w:numId w:val="2"/>
        </w:numPr>
        <w:spacing w:after="0"/>
        <w:jc w:val="both"/>
        <w:rPr>
          <w:lang w:val="ro-RO"/>
        </w:rPr>
      </w:pPr>
      <w:r>
        <w:rPr>
          <w:lang w:val="ro-RO"/>
        </w:rPr>
        <w:t>Asigurarea unei distribuţii geografice uniforme a evaluatorilor şi experţilor din comitetele relevante.</w:t>
      </w:r>
    </w:p>
    <w:p w:rsidR="006A04A0" w:rsidRPr="006A04A0" w:rsidRDefault="006A04A0" w:rsidP="006A04A0">
      <w:pPr>
        <w:spacing w:after="0"/>
        <w:jc w:val="both"/>
        <w:rPr>
          <w:lang w:val="ro-RO"/>
        </w:rPr>
      </w:pPr>
      <w:r w:rsidRPr="006A04A0">
        <w:rPr>
          <w:lang w:val="ro-RO"/>
        </w:rPr>
        <w:t xml:space="preserve"> </w:t>
      </w:r>
      <w:r w:rsidR="00290D9B">
        <w:rPr>
          <w:lang w:val="ro-RO"/>
        </w:rPr>
        <w:t>Am dori să adăugăm câteva comentarii generale:</w:t>
      </w:r>
    </w:p>
    <w:p w:rsidR="00290D9B" w:rsidRDefault="00290D9B" w:rsidP="00290D9B">
      <w:pPr>
        <w:pStyle w:val="ListParagraph"/>
        <w:numPr>
          <w:ilvl w:val="0"/>
          <w:numId w:val="3"/>
        </w:numPr>
        <w:spacing w:after="0"/>
        <w:jc w:val="both"/>
        <w:rPr>
          <w:lang w:val="ro-RO"/>
        </w:rPr>
      </w:pPr>
      <w:r>
        <w:rPr>
          <w:lang w:val="ro-RO"/>
        </w:rPr>
        <w:t>Câteva proiecte foarte bine cotate nu pot fi finanţate prin Programul Cadru din cauza constrângerilor bugetare, în ciuda înaltei lor valori adăugate pentru Europa. Aceasta produce o frustrare de înţeles şi uneori descurajează participanţii să mai aplice din nou. Organizarea competiţiilor pe buget redus trebuie să fie evitată în viitor. Altă soluţie ar putea fi crearea unui instrument de back-up multinaţional, posibil în cadrul unei iniţiative comune de programare, care ar putea oferi susţinere proiectelor cu scor înalt pe care viitorul PC nu le-ar putea finanţa.</w:t>
      </w:r>
    </w:p>
    <w:p w:rsidR="00290D9B" w:rsidRDefault="00290D9B" w:rsidP="00290D9B">
      <w:pPr>
        <w:pStyle w:val="ListParagraph"/>
        <w:numPr>
          <w:ilvl w:val="0"/>
          <w:numId w:val="3"/>
        </w:numPr>
        <w:spacing w:after="0"/>
        <w:jc w:val="both"/>
        <w:rPr>
          <w:lang w:val="ro-RO"/>
        </w:rPr>
      </w:pPr>
      <w:r>
        <w:rPr>
          <w:lang w:val="ro-RO"/>
        </w:rPr>
        <w:t>Trebuie consolidat rolul politic al Comisiei în monitorizarea convergenţei la ţintele asumate din fiecare stat în contextul obiectivului „3% din PIB”.</w:t>
      </w:r>
    </w:p>
    <w:p w:rsidR="00290D9B" w:rsidRDefault="00290D9B" w:rsidP="00290D9B">
      <w:pPr>
        <w:pStyle w:val="ListParagraph"/>
        <w:numPr>
          <w:ilvl w:val="0"/>
          <w:numId w:val="3"/>
        </w:numPr>
        <w:spacing w:after="0"/>
        <w:jc w:val="both"/>
        <w:rPr>
          <w:lang w:val="ro-RO"/>
        </w:rPr>
      </w:pPr>
      <w:r>
        <w:rPr>
          <w:lang w:val="ro-RO"/>
        </w:rPr>
        <w:t>Sinergiile cu fondurile structurale trebuie soluţionate în cadrul general de coordonare dintre viitorul PC şi eforturile naţionale în contextul UE2020 şi SEC. Două aspecte sunt importante: să se evite suprapunerile ce nu sunt necesare şi să se acţioneze coerent. Sinergia şi implementarea lină se asigură cel mai bine atunci când managementul fondurilor structurale alocate pentru CD şi CD bazată pe inovare se realizează în cadrul aceleiaşi instituţii publice responsabile cu elaborarea şi implementarea politicilor de cercetare şi inovare. În acelaşi timp, coordonarea dintre diferitele politici europene ar trebui să fie crescută în aşa fel încât toate serviciile Comisiei să aibă o abordare comună atunci când este vorba de cercetare şi inovare. Pentru deplina exploatare a sinergiilor dintre Programele Cadru şi Fondurile Structurale, ar trebui să se acorde o mai mare atenţie la simplitatea şi coerenţa regulilor din ambele surse de suport financiar UE.</w:t>
      </w:r>
    </w:p>
    <w:p w:rsidR="00290D9B" w:rsidRDefault="00290D9B" w:rsidP="00290D9B">
      <w:pPr>
        <w:spacing w:after="0"/>
        <w:jc w:val="both"/>
        <w:rPr>
          <w:b/>
          <w:lang w:val="ro-RO"/>
        </w:rPr>
      </w:pPr>
    </w:p>
    <w:p w:rsidR="00290D9B" w:rsidRPr="00290D9B" w:rsidRDefault="00290D9B" w:rsidP="00290D9B">
      <w:pPr>
        <w:spacing w:after="0"/>
        <w:jc w:val="both"/>
        <w:rPr>
          <w:b/>
          <w:lang w:val="ro-RO"/>
        </w:rPr>
      </w:pPr>
      <w:r>
        <w:rPr>
          <w:b/>
          <w:lang w:val="ro-RO"/>
        </w:rPr>
        <w:t>3. Structura viitorului PC</w:t>
      </w:r>
    </w:p>
    <w:p w:rsidR="00290D9B" w:rsidRPr="00290D9B" w:rsidRDefault="00136235" w:rsidP="00290D9B">
      <w:pPr>
        <w:spacing w:after="0"/>
        <w:jc w:val="both"/>
        <w:rPr>
          <w:lang w:val="ro-RO"/>
        </w:rPr>
      </w:pPr>
      <w:r>
        <w:rPr>
          <w:lang w:val="ro-RO"/>
        </w:rPr>
        <w:t>Opinia noastră generală asupra tipurilor de programe susţinute de către viitorul PC este următoarea:</w:t>
      </w:r>
    </w:p>
    <w:p w:rsidR="00136235" w:rsidRDefault="00136235" w:rsidP="00136235">
      <w:pPr>
        <w:pStyle w:val="ListParagraph"/>
        <w:numPr>
          <w:ilvl w:val="0"/>
          <w:numId w:val="4"/>
        </w:numPr>
        <w:spacing w:after="0"/>
        <w:jc w:val="both"/>
        <w:rPr>
          <w:rFonts w:ascii="Calibri" w:hAnsi="Calibri" w:cs="Calibri"/>
          <w:lang w:val="ro-RO"/>
        </w:rPr>
      </w:pPr>
      <w:r>
        <w:rPr>
          <w:rFonts w:ascii="Calibri" w:hAnsi="Calibri" w:cs="Calibri"/>
          <w:lang w:val="ro-RO"/>
        </w:rPr>
        <w:t xml:space="preserve">COOPERARE: Programul de cooperare ar trebui menţinut cel puţin la rata de finanţare existentă din bugetul total al PC, cu aceeaşi rată de finanţare orientată pentru cererile directe de ofertă. Indiferent de structura şi de instrumentele utilizate, cel mai important aspect al PC rămâne conţinutul tematic. Indicatorul „20/20/20” (să se economisească 20% din energia primară, să se reducă 20% din emisiile de gaze de seră şi să se crească distribuţia de energii regeneratoare) trebuie realizat până în 2020 şi reprezintă unul din cele mai ambiţioase obiective ale Strategiei Europa 2020. Prin urmare, Transportul, Energia şi Mediul ar trebui să reprezinte domenii foarte importante ale viitorului PC, indiferent de structura sa finală. România susţine continuarea următoarelor priorităţi tematice TIC, NMP, transport şi aeronautică, energie, agricultură, mediu şi sănătate. În cadrul Cooperării, o temă specifică (de exemplu una orizontală) ar trebui dedicată „Proiectelor regionale cu impact european” în vederea mai bunei exploatări a bunurilor naturale locale (regionale) care există în zone speciale şi să utilizeze mai bine experienţa existentă în alte state. </w:t>
      </w:r>
    </w:p>
    <w:p w:rsidR="00136235" w:rsidRDefault="00136235" w:rsidP="00136235">
      <w:pPr>
        <w:pStyle w:val="ListParagraph"/>
        <w:numPr>
          <w:ilvl w:val="0"/>
          <w:numId w:val="4"/>
        </w:numPr>
        <w:spacing w:after="0"/>
        <w:jc w:val="both"/>
        <w:rPr>
          <w:rFonts w:ascii="Calibri" w:hAnsi="Calibri" w:cs="Calibri"/>
          <w:lang w:val="ro-RO"/>
        </w:rPr>
      </w:pPr>
      <w:r>
        <w:rPr>
          <w:rFonts w:ascii="Calibri" w:hAnsi="Calibri" w:cs="Calibri"/>
          <w:lang w:val="ro-RO"/>
        </w:rPr>
        <w:t xml:space="preserve">IDEI: România susţine continuarea Programului Idei şi finanţarea cercetării de frontieră în viitorul PC. Cu toate acestea, România îşi manifestă îngrijorarea cu privirea la rata foarte mică de absorbţie din NMS. În ultimii ani, NMS a făcut investiţii importante în infrastructura de </w:t>
      </w:r>
      <w:r>
        <w:rPr>
          <w:rFonts w:ascii="Calibri" w:hAnsi="Calibri" w:cs="Calibri"/>
          <w:lang w:val="ro-RO"/>
        </w:rPr>
        <w:lastRenderedPageBreak/>
        <w:t>cercetare, în special prin utilizarea fondurilor structurale.</w:t>
      </w:r>
      <w:r w:rsidR="00A66F77">
        <w:rPr>
          <w:rFonts w:ascii="Calibri" w:hAnsi="Calibri" w:cs="Calibri"/>
          <w:lang w:val="ro-RO"/>
        </w:rPr>
        <w:t xml:space="preserve"> Activităţile de mentorat şi mecanismele de înfrăţire instituţionale cu regiuni mai puţin de succes pentru câştigarea de fonduri din Programul Idei sunt necesare pentru capitalizarea acestor investiţii. De asemenea, Idei ar trebui să susţină proiecte de cercetare de frontieră în nou-createle infrastructuri ESFRI. </w:t>
      </w:r>
    </w:p>
    <w:p w:rsidR="00A66F77" w:rsidRDefault="00A66F77" w:rsidP="00136235">
      <w:pPr>
        <w:pStyle w:val="ListParagraph"/>
        <w:numPr>
          <w:ilvl w:val="0"/>
          <w:numId w:val="4"/>
        </w:numPr>
        <w:spacing w:after="0"/>
        <w:jc w:val="both"/>
        <w:rPr>
          <w:rFonts w:ascii="Calibri" w:hAnsi="Calibri" w:cs="Calibri"/>
          <w:lang w:val="ro-RO"/>
        </w:rPr>
      </w:pPr>
      <w:r>
        <w:rPr>
          <w:rFonts w:ascii="Calibri" w:hAnsi="Calibri" w:cs="Calibri"/>
          <w:lang w:val="ro-RO"/>
        </w:rPr>
        <w:t>OAMENI: Programul comunitar Resurse Umane şi-a demonstrat utilitatea şi eficienţa şi noi susţinem cu tărie continuarea eforturilor de profesionalizare a carierelor cercetătorilor tineri şi debutanţi. Ar trebui continuat cu un buget important, dar este nevoie să fie simplificat. „Abordarea de jos în sus” este o caracteristică fundamentală a Acţiunilor Marie Curie (MCA) care trebuie menţinută. Vizibilitatea MCA la nivelul întreprinderilor ar trebui crescută, iar implicarea industriei ar trebui reflectată chiar din stagiile timpurii ale carierelor cercetătorilor (de exemplu, prin doctoratele industriale). Dimensiunea internaţionale din MCA este foarte binevenită; cu toate acestea, ar trebui acordată o mai mare atenţie doctoranzilor şi tinerilor cercetători, nu numai celor din state terţe, ci şi celor din cadrul UE şi din UE12, în special. Sunt foarte importante măsurile pentru dezvoltarea, promovarea şi inserţia capitalului uman pentru cercetare în toate regiunile comunităţii.</w:t>
      </w:r>
    </w:p>
    <w:p w:rsidR="00821647" w:rsidRPr="00136235" w:rsidRDefault="00821647" w:rsidP="00136235">
      <w:pPr>
        <w:pStyle w:val="ListParagraph"/>
        <w:numPr>
          <w:ilvl w:val="0"/>
          <w:numId w:val="4"/>
        </w:numPr>
        <w:spacing w:after="0"/>
        <w:jc w:val="both"/>
        <w:rPr>
          <w:rFonts w:ascii="Calibri" w:hAnsi="Calibri" w:cs="Calibri"/>
          <w:lang w:val="ro-RO"/>
        </w:rPr>
      </w:pPr>
      <w:r>
        <w:rPr>
          <w:rFonts w:ascii="Calibri" w:hAnsi="Calibri" w:cs="Calibri"/>
          <w:lang w:val="ro-RO"/>
        </w:rPr>
        <w:t>CAPACITĂŢILE ar trebui continuate şi dezvoltate cu un buget mai mare în viitorul PC. Bugetul pentru „potenţialul de cercetare” trebuie crescut pentru a susţine o mai mare diseminare a excelenţei. Rata globală de succes a competiţiilor organizate între 2009 şi 2010 a fost foarte scăzută, mai puţin de 5%. Cât despre „regiunile de cunoaştere”, propunem introducerea unei componente dedicate dezvoltării de clustere, pe de o parte, şi încurajarea atragerii de „actori” din cadrul NMS în clusterele funcţionale existente (clusterele transnaţionale), pe de altă parte. „Cercetarea pentru IMM-uri” ar trebui mărită cu o dimensiune pentru inovare, ar trebui să obţină un buget mai mare şi ar trebui să beneficieze de o schemă RSFF dedicată. O atenţie specială ar trebui acordată susţinerii cooperării, asigurării unui acces competiţional deschis şi promovării atractivităţii Consorţiilor europene de infrastructură de cercetare. Facilităţile parteneriale regionale vor juca un rol cheie în cercetarea şi inovarea din NMS, iar  instrumentele existente (de exemplu RegPot şi RoK) trebuie ameliorate în vedera catalizării activităţilor lor pentru o mai bună utilizare şi coordonare. Alocarea de bugete corespunzătoare trebuie să fie bazată pe un model de investiţii care să vadă Facilităţile de Parteneriat Regionale ca factor cheie pentru o evoluţie mai echilibrată a Spaţiului European de Cercetare şi pentru „circulaţia cunoaşterii” prin Europa, astfel convertind „pier</w:t>
      </w:r>
      <w:r w:rsidR="00A94A1C">
        <w:rPr>
          <w:rFonts w:ascii="Calibri" w:hAnsi="Calibri" w:cs="Calibri"/>
          <w:lang w:val="ro-RO"/>
        </w:rPr>
        <w:t>derea de creiere” în „câştigare</w:t>
      </w:r>
      <w:r>
        <w:rPr>
          <w:rFonts w:ascii="Calibri" w:hAnsi="Calibri" w:cs="Calibri"/>
          <w:lang w:val="ro-RO"/>
        </w:rPr>
        <w:t xml:space="preserve"> de creiere”.</w:t>
      </w:r>
    </w:p>
    <w:p w:rsidR="00290D9B" w:rsidRDefault="00A94A1C" w:rsidP="00290D9B">
      <w:pPr>
        <w:spacing w:after="0"/>
        <w:jc w:val="both"/>
        <w:rPr>
          <w:lang w:val="ro-RO"/>
        </w:rPr>
      </w:pPr>
      <w:r>
        <w:rPr>
          <w:lang w:val="ro-RO"/>
        </w:rPr>
        <w:t>Marile provocări ar trebui să fie la o scară suficient de amplă ca întindere pentru a capta imaginaţia publicului şi politicului, pentru a crea un larg interes în comunităţile ştiinţifice şi de afaceri şi în ONG-uri şi pentru a inspira tinerii. Chiar dacă definită mai amplu sau mai orientată spre soluţionarea problemelor, identificarea acestora ar putea fi legată de procesul de programare în comun. Iniţiativele de programare în comun (JPI) precum şi Programele articolului 185 reprezintă cele mai potrivite instrumente pentru abordarea comună a marilor probleme ale societăţii noastre.</w:t>
      </w:r>
    </w:p>
    <w:p w:rsidR="00A94A1C" w:rsidRDefault="00A94A1C" w:rsidP="00290D9B">
      <w:pPr>
        <w:spacing w:after="0"/>
        <w:jc w:val="both"/>
        <w:rPr>
          <w:lang w:val="ro-RO"/>
        </w:rPr>
      </w:pPr>
    </w:p>
    <w:p w:rsidR="00A94A1C" w:rsidRDefault="00A94A1C" w:rsidP="00290D9B">
      <w:pPr>
        <w:spacing w:after="0"/>
        <w:jc w:val="both"/>
        <w:rPr>
          <w:lang w:val="ro-RO"/>
        </w:rPr>
      </w:pPr>
      <w:r>
        <w:rPr>
          <w:lang w:val="ro-RO"/>
        </w:rPr>
        <w:t xml:space="preserve">În acest sens, un cadru legal pentru Iniţiativele de Programare în Comun ar trebui definite şi convenite de către toate statele membre ale UE. Acest cadru legal ar trebui să identifice şi să stabilească ce condiţii de bază sunt, ce structuri guvernamentale sunt implicate, care sunt regulile operaţionale, reglementările privind finanţele şi procedurile, iar aceasta să se realizeze în mod uniform pentru iniţiativele de </w:t>
      </w:r>
      <w:r>
        <w:rPr>
          <w:lang w:val="ro-RO"/>
        </w:rPr>
        <w:lastRenderedPageBreak/>
        <w:t>programare în comun în derulare şi pentru cele viitoare. După aceasta, dat fiind cadrul legal comun, un acord interguvernamental ar trebui semnat de către toate statele implicate pentru a oferi susţinerea necesară la nivel naţional.</w:t>
      </w:r>
    </w:p>
    <w:p w:rsidR="00A94A1C" w:rsidRDefault="00A94A1C" w:rsidP="00A94A1C">
      <w:pPr>
        <w:spacing w:after="0"/>
        <w:jc w:val="both"/>
        <w:rPr>
          <w:lang w:val="ro-RO"/>
        </w:rPr>
      </w:pPr>
    </w:p>
    <w:p w:rsidR="00A94A1C" w:rsidRDefault="00A94A1C" w:rsidP="00A94A1C">
      <w:pPr>
        <w:spacing w:after="0"/>
        <w:jc w:val="both"/>
        <w:rPr>
          <w:lang w:val="ro-RO"/>
        </w:rPr>
      </w:pPr>
      <w:r>
        <w:rPr>
          <w:lang w:val="ro-RO"/>
        </w:rPr>
        <w:t>Dată fiind valoarea adăugată şi impactul COST, o iniţiativă europeană care ajută comunitatea ştiinţi</w:t>
      </w:r>
      <w:r w:rsidR="003000DE">
        <w:rPr>
          <w:lang w:val="ro-RO"/>
        </w:rPr>
        <w:t xml:space="preserve">fică şi societatea per ansamblu </w:t>
      </w:r>
      <w:r>
        <w:rPr>
          <w:lang w:val="ro-RO"/>
        </w:rPr>
        <w:t xml:space="preserve"> la finalizarea procesului SEC prin activitatea în reţea, cooperare şi coordonare şi datorită contribuţiei sale demonstrate pentru construirea capacităţii ştiinţifice, încurajăm continuarea susţinerii sale şi în viitorul Program Cadru. </w:t>
      </w:r>
    </w:p>
    <w:p w:rsidR="003000DE" w:rsidRDefault="003000DE" w:rsidP="00A94A1C">
      <w:pPr>
        <w:spacing w:after="0"/>
        <w:jc w:val="both"/>
        <w:rPr>
          <w:lang w:val="ro-RO"/>
        </w:rPr>
      </w:pPr>
    </w:p>
    <w:p w:rsidR="003000DE" w:rsidRDefault="003000DE" w:rsidP="003000DE">
      <w:pPr>
        <w:pStyle w:val="ListParagraph"/>
        <w:numPr>
          <w:ilvl w:val="0"/>
          <w:numId w:val="5"/>
        </w:numPr>
        <w:spacing w:after="0"/>
        <w:jc w:val="both"/>
        <w:rPr>
          <w:lang w:val="ro-RO"/>
        </w:rPr>
      </w:pPr>
      <w:r>
        <w:rPr>
          <w:lang w:val="ro-RO"/>
        </w:rPr>
        <w:t xml:space="preserve">INOVAŢIA: rolul principal al inovaţiei în obţinerea competitivităţii europene şi prin aceasta în abordarea marilor provocări duce la o legătură de netăgăduit dintre cercetare şi inovare care ar trebui să fie </w:t>
      </w:r>
      <w:r w:rsidR="00531A58">
        <w:rPr>
          <w:lang w:val="ro-RO"/>
        </w:rPr>
        <w:t>reflectată constant în mod clar în toate structurile şi instrumentele din viitoarele PC.</w:t>
      </w:r>
    </w:p>
    <w:p w:rsidR="00531A58" w:rsidRDefault="00531A58" w:rsidP="003000DE">
      <w:pPr>
        <w:spacing w:after="0"/>
        <w:jc w:val="both"/>
        <w:rPr>
          <w:rFonts w:ascii="Calibri" w:hAnsi="Calibri" w:cs="Calibri"/>
          <w:lang w:val="ro-RO"/>
        </w:rPr>
      </w:pPr>
    </w:p>
    <w:p w:rsidR="003000DE" w:rsidRPr="003000DE" w:rsidRDefault="00531A58" w:rsidP="003000DE">
      <w:pPr>
        <w:spacing w:after="0"/>
        <w:jc w:val="both"/>
        <w:rPr>
          <w:lang w:val="ro-RO"/>
        </w:rPr>
      </w:pPr>
      <w:r>
        <w:rPr>
          <w:lang w:val="ro-RO"/>
        </w:rPr>
        <w:t xml:space="preserve">Într-adevăr, integrarea măsurilor de inovare în viitorul Program Cadru este o problemă de importanţă vitală pentru succesul viitorului PC. În opinia noastră, inovaţia ar trebui promovată prin introducerea unui criteriu dedicat evaluării, atunci când este posibil şi, mai mult, activităţi eligibile specifice inovării (dincolo de cercetarea experimentală), conforme cu regulile ajutorul de stat. Cu toate acestea, crearea de noi instrumente ar trebui să fie limitată, iar decizia ar trebui să fie luată numai după o analiză corespunzătoare. </w:t>
      </w:r>
    </w:p>
    <w:p w:rsidR="003000DE" w:rsidRDefault="003000DE" w:rsidP="003000DE">
      <w:pPr>
        <w:spacing w:after="0"/>
        <w:jc w:val="both"/>
        <w:rPr>
          <w:lang w:val="ro-RO"/>
        </w:rPr>
      </w:pPr>
      <w:r w:rsidRPr="003000DE">
        <w:rPr>
          <w:lang w:val="ro-RO"/>
        </w:rPr>
        <w:t xml:space="preserve"> </w:t>
      </w:r>
    </w:p>
    <w:p w:rsidR="00531A58" w:rsidRPr="00531A58" w:rsidRDefault="00531A58" w:rsidP="00531A58">
      <w:pPr>
        <w:spacing w:after="0"/>
        <w:jc w:val="both"/>
        <w:rPr>
          <w:lang w:val="ro-RO"/>
        </w:rPr>
      </w:pPr>
      <w:r>
        <w:rPr>
          <w:lang w:val="ro-RO"/>
        </w:rPr>
        <w:t xml:space="preserve">România a susţinut ideea de a avea un instrument comunitar integrat concentrat pe produsele high-tech şi pe tehnologiile emergente care ar trebui să acopere întregul lanţ al inovării de la dezvoltarea tehnologică – prin producţia limitată – până la măsurile de marketing. Pentru următoarea perioadă de programare din cadrul viitorului PC, acesta ar putea fi un nou program pilot până ce va fi testat corespunzător. </w:t>
      </w:r>
    </w:p>
    <w:p w:rsidR="00531A58" w:rsidRDefault="00531A58" w:rsidP="00531A58">
      <w:pPr>
        <w:spacing w:after="0"/>
        <w:jc w:val="both"/>
        <w:rPr>
          <w:lang w:val="ro-RO"/>
        </w:rPr>
      </w:pPr>
    </w:p>
    <w:p w:rsidR="00531A58" w:rsidRPr="00531A58" w:rsidRDefault="00531A58" w:rsidP="00531A58">
      <w:pPr>
        <w:spacing w:after="0"/>
        <w:jc w:val="both"/>
        <w:rPr>
          <w:lang w:val="ro-RO"/>
        </w:rPr>
      </w:pPr>
      <w:r>
        <w:rPr>
          <w:lang w:val="ro-RO"/>
        </w:rPr>
        <w:t xml:space="preserve">Referitor la inovare, ar trebui acordată atenţie specială stabilirii de condiţii care să poată contribui la consolidarea capacităţii industriale (în special pentru IMMuri) pentru statele membre mai puţin competitive. </w:t>
      </w:r>
      <w:r w:rsidR="00257202">
        <w:rPr>
          <w:lang w:val="ro-RO"/>
        </w:rPr>
        <w:t xml:space="preserve"> Deoarece reprezintă un sector cheie pentru inovare, participarea IMM-urilor în proiectele europene ar trebui să fie încurajată continuu prin toate mijloacele, inclusiv prin Programul de succes EUROSTARS al EUREKA, care ne aşteptăm să fie derulat în continuare şi să fie facilitat prin simplificare administrativă. Înalta competitivitate a mai multor firme din cadrul EU15 nu ar trebui să limiteze accesul IMMurilor din noile state membre care acţionează de obicei ca pilot pentru rezultatele C-D şi care nu sunt suficient de puternice pentru a prelua riscurile pe care le implică producerea de cunoaştere originală.</w:t>
      </w:r>
    </w:p>
    <w:p w:rsidR="00531A58" w:rsidRDefault="00531A58" w:rsidP="00257202">
      <w:pPr>
        <w:spacing w:after="0"/>
        <w:jc w:val="both"/>
        <w:rPr>
          <w:lang w:val="ro-RO"/>
        </w:rPr>
      </w:pPr>
      <w:r w:rsidRPr="00531A58">
        <w:rPr>
          <w:lang w:val="ro-RO"/>
        </w:rPr>
        <w:t xml:space="preserve"> </w:t>
      </w:r>
    </w:p>
    <w:p w:rsidR="00257202" w:rsidRDefault="00257202" w:rsidP="00257202">
      <w:pPr>
        <w:spacing w:after="0"/>
        <w:jc w:val="both"/>
        <w:rPr>
          <w:lang w:val="ro-RO"/>
        </w:rPr>
      </w:pPr>
      <w:r>
        <w:rPr>
          <w:lang w:val="ro-RO"/>
        </w:rPr>
        <w:t>Deoarece beneficiile economice curg din exploatarea IPRurilor (inclusiv patente şi copyrighturi), Uniunea are nevoie de o piaţă europeană a cunoaşterii pentru patente şi autorizaţii.</w:t>
      </w:r>
    </w:p>
    <w:p w:rsidR="00257202" w:rsidRDefault="00257202" w:rsidP="00257202">
      <w:pPr>
        <w:spacing w:after="0"/>
        <w:jc w:val="both"/>
        <w:rPr>
          <w:lang w:val="ro-RO"/>
        </w:rPr>
      </w:pPr>
    </w:p>
    <w:p w:rsidR="00257202" w:rsidRDefault="00257202" w:rsidP="00257202">
      <w:pPr>
        <w:spacing w:after="0"/>
        <w:jc w:val="both"/>
        <w:rPr>
          <w:lang w:val="ro-RO"/>
        </w:rPr>
      </w:pPr>
      <w:r>
        <w:rPr>
          <w:lang w:val="ro-RO"/>
        </w:rPr>
        <w:t>Contribuţia viitorului PC la creşterea economică şi la crearea de locuri de muncă ar trebui măsurată corespunzător prin indicatori de rezultat definiţi.</w:t>
      </w:r>
    </w:p>
    <w:p w:rsidR="00257202" w:rsidRDefault="00257202" w:rsidP="00257202">
      <w:pPr>
        <w:spacing w:after="0"/>
        <w:jc w:val="both"/>
        <w:rPr>
          <w:lang w:val="ro-RO"/>
        </w:rPr>
      </w:pPr>
    </w:p>
    <w:p w:rsidR="00257202" w:rsidRDefault="00257202" w:rsidP="00257202">
      <w:pPr>
        <w:spacing w:after="0"/>
        <w:jc w:val="both"/>
        <w:rPr>
          <w:b/>
          <w:lang w:val="ro-RO"/>
        </w:rPr>
      </w:pPr>
      <w:r>
        <w:rPr>
          <w:b/>
          <w:lang w:val="ro-RO"/>
        </w:rPr>
        <w:lastRenderedPageBreak/>
        <w:t>4. Implementare</w:t>
      </w:r>
    </w:p>
    <w:p w:rsidR="00257202" w:rsidRDefault="00257202" w:rsidP="00257202">
      <w:pPr>
        <w:spacing w:after="0"/>
        <w:jc w:val="both"/>
        <w:rPr>
          <w:lang w:val="ro-RO"/>
        </w:rPr>
      </w:pPr>
      <w:r>
        <w:rPr>
          <w:lang w:val="ro-RO"/>
        </w:rPr>
        <w:t>În principiu, prezentele scheme de finanţare ar trebui să continue în viitorul Program Cadru. Inovaţia ar trebui inclusă în viitorul PC prin intermediul unor activităţi eligibile specifice şi clare din cadrul schemelor de finanţare deja existente. Setul de scheme de finanţare ar trebui armonizat împreună cu viitoarele programe şi instrumente din cadrul PC, ori de câte ori este posibil.</w:t>
      </w:r>
    </w:p>
    <w:p w:rsidR="00257202" w:rsidRDefault="00257202" w:rsidP="00257202">
      <w:pPr>
        <w:spacing w:after="0"/>
        <w:jc w:val="both"/>
        <w:rPr>
          <w:lang w:val="ro-RO"/>
        </w:rPr>
      </w:pPr>
    </w:p>
    <w:p w:rsidR="00257202" w:rsidRDefault="00257202" w:rsidP="00257202">
      <w:pPr>
        <w:spacing w:after="0"/>
        <w:jc w:val="both"/>
        <w:rPr>
          <w:lang w:val="ro-RO"/>
        </w:rPr>
      </w:pPr>
      <w:r>
        <w:rPr>
          <w:lang w:val="ro-RO"/>
        </w:rPr>
        <w:t xml:space="preserve">Mai mult, tipurile de activităţi eligibile ar trebui armonizate împreună cu definiţiile relevante din cadrele şi reglementările pentru ajutorul de stat </w:t>
      </w:r>
      <w:r w:rsidR="002D6D15">
        <w:rPr>
          <w:lang w:val="ro-RO"/>
        </w:rPr>
        <w:t>pentru a se facilita funcţionarea instrumentelor care implică PCurile, instrumentele naţionale şi Fondurile Structurale.</w:t>
      </w:r>
    </w:p>
    <w:p w:rsidR="002D6D15" w:rsidRDefault="002D6D15" w:rsidP="00257202">
      <w:pPr>
        <w:spacing w:after="0"/>
        <w:jc w:val="both"/>
        <w:rPr>
          <w:lang w:val="ro-RO"/>
        </w:rPr>
      </w:pPr>
    </w:p>
    <w:p w:rsidR="002D6D15" w:rsidRDefault="002D6D15" w:rsidP="002D6D15">
      <w:pPr>
        <w:spacing w:after="0"/>
        <w:jc w:val="both"/>
        <w:rPr>
          <w:lang w:val="ro-RO"/>
        </w:rPr>
      </w:pPr>
      <w:r>
        <w:rPr>
          <w:lang w:val="ro-RO"/>
        </w:rPr>
        <w:t>Instrumente precum ERA NET, ERA NET Plus, JTIurile şi art. 185 şi-au demonstrat utilitatea şi eficacitatea de coordonare a activităţilor naţionale (publice şi private).</w:t>
      </w:r>
    </w:p>
    <w:p w:rsidR="002D6D15" w:rsidRDefault="002D6D15" w:rsidP="002D6D15">
      <w:pPr>
        <w:spacing w:after="0"/>
        <w:jc w:val="both"/>
        <w:rPr>
          <w:lang w:val="ro-RO"/>
        </w:rPr>
      </w:pPr>
    </w:p>
    <w:p w:rsidR="002D6D15" w:rsidRDefault="002D6D15" w:rsidP="002D6D15">
      <w:pPr>
        <w:spacing w:after="0"/>
        <w:jc w:val="both"/>
        <w:rPr>
          <w:lang w:val="ro-RO"/>
        </w:rPr>
      </w:pPr>
      <w:r>
        <w:rPr>
          <w:lang w:val="ro-RO"/>
        </w:rPr>
        <w:t xml:space="preserve">Susţinem cu tărie dezvoltarea în viitor de noi JTIuri. Astfel de iniţiative orientate spre industrie oferă activităţi direcţionate de cercetare şi dezvoltare tehnologică pentru a răspunde Agendelor de Cercetare Strategică stabilite de către sectorul economic şi preocupărilor privind dezvoltarea industriei Uniunii Europene. </w:t>
      </w:r>
    </w:p>
    <w:p w:rsidR="002D6D15" w:rsidRDefault="002D6D15" w:rsidP="002D6D15">
      <w:pPr>
        <w:spacing w:after="0"/>
        <w:jc w:val="both"/>
        <w:rPr>
          <w:lang w:val="ro-RO"/>
        </w:rPr>
      </w:pPr>
    </w:p>
    <w:p w:rsidR="002D6D15" w:rsidRPr="002D6D15" w:rsidRDefault="002D6D15" w:rsidP="002D6D15">
      <w:pPr>
        <w:spacing w:after="0"/>
        <w:jc w:val="both"/>
        <w:rPr>
          <w:lang w:val="ro-RO"/>
        </w:rPr>
      </w:pPr>
      <w:r>
        <w:rPr>
          <w:lang w:val="ro-RO"/>
        </w:rPr>
        <w:t xml:space="preserve">Cooperarea în cadrul proiectelor ERA-NET a crescut relaţiile internaţionale dintre decidenţii politici şi managerii de programe </w:t>
      </w:r>
      <w:r w:rsidRPr="002D6D15">
        <w:rPr>
          <w:lang w:val="ro-RO"/>
        </w:rPr>
        <w:t xml:space="preserve"> </w:t>
      </w:r>
      <w:r>
        <w:rPr>
          <w:lang w:val="ro-RO"/>
        </w:rPr>
        <w:t>şi ar trebui continuată şi consolidată.</w:t>
      </w:r>
    </w:p>
    <w:p w:rsidR="002D6D15" w:rsidRDefault="002D6D15" w:rsidP="00257202">
      <w:pPr>
        <w:spacing w:after="0"/>
        <w:jc w:val="both"/>
        <w:rPr>
          <w:lang w:val="ro-RO"/>
        </w:rPr>
      </w:pPr>
    </w:p>
    <w:p w:rsidR="002D6D15" w:rsidRDefault="002D6D15" w:rsidP="00257202">
      <w:pPr>
        <w:spacing w:after="0"/>
        <w:jc w:val="both"/>
        <w:rPr>
          <w:lang w:val="ro-RO"/>
        </w:rPr>
      </w:pPr>
      <w:r>
        <w:rPr>
          <w:lang w:val="ro-RO"/>
        </w:rPr>
        <w:t xml:space="preserve">Experienţa PC6 anterioară de introducere a noi instrumente preucum Reţelele de excelenţă şi Proiectele Integrate </w:t>
      </w:r>
      <w:r w:rsidR="00FD6FE3">
        <w:rPr>
          <w:lang w:val="ro-RO"/>
        </w:rPr>
        <w:t xml:space="preserve">care apoi au fost modificate puternic sau chiar abandonate în contextul PC7, a arătat clar că integrarea şi concentrarea instrumentelor existente ar fi măsura dorită de luat în considerare în vederea simplificării accesului la viitorul PC. </w:t>
      </w:r>
    </w:p>
    <w:p w:rsidR="00FD6FE3" w:rsidRDefault="00FD6FE3" w:rsidP="00257202">
      <w:pPr>
        <w:spacing w:after="0"/>
        <w:jc w:val="both"/>
        <w:rPr>
          <w:lang w:val="ro-RO"/>
        </w:rPr>
      </w:pPr>
    </w:p>
    <w:p w:rsidR="00257202" w:rsidRDefault="00FD6FE3" w:rsidP="00FD6FE3">
      <w:pPr>
        <w:spacing w:after="0"/>
        <w:jc w:val="both"/>
        <w:rPr>
          <w:lang w:val="ro-RO"/>
        </w:rPr>
      </w:pPr>
      <w:r>
        <w:rPr>
          <w:lang w:val="ro-RO"/>
        </w:rPr>
        <w:t>Referitor la categoriile de participanţi, considerăm că trebuie pus un accent mai puternic pe IMM-uri şi pe organizaţiile de transfer de cunoaştere. Cel puţin 15% din bugetul pe arii tematice ar trebui alocat IMM-urilor.</w:t>
      </w:r>
    </w:p>
    <w:p w:rsidR="00FD6FE3" w:rsidRDefault="00FD6FE3" w:rsidP="00FD6FE3">
      <w:pPr>
        <w:spacing w:after="0"/>
        <w:jc w:val="both"/>
        <w:rPr>
          <w:lang w:val="ro-RO"/>
        </w:rPr>
      </w:pPr>
    </w:p>
    <w:p w:rsidR="00FD6FE3" w:rsidRDefault="00FD6FE3" w:rsidP="00EC1357">
      <w:pPr>
        <w:spacing w:after="0"/>
        <w:jc w:val="both"/>
        <w:rPr>
          <w:lang w:val="ro-RO"/>
        </w:rPr>
      </w:pPr>
      <w:r>
        <w:rPr>
          <w:lang w:val="ro-RO"/>
        </w:rPr>
        <w:t xml:space="preserve">Ar trebui adoptate reguli administrative şi financiare simplificate </w:t>
      </w:r>
      <w:r w:rsidR="00EC1357">
        <w:rPr>
          <w:lang w:val="ro-RO"/>
        </w:rPr>
        <w:t xml:space="preserve">şi mai flexibile: o rată fixă de finanţare, sume alocate costurilor cu personalul şi o procedură mai simplă de raportare şi de control financiar. Încurajăm cu putere proceduri mai simplificate printr-un echilibru mai bun intre un sistem bazat pe control şi un sistem bazat pe încredere pentru a se facilita participarea tuturor actorilor, în special a IMM-urilor. </w:t>
      </w:r>
    </w:p>
    <w:p w:rsidR="00EC1357" w:rsidRDefault="00EC1357" w:rsidP="00EC1357">
      <w:pPr>
        <w:spacing w:after="0"/>
        <w:jc w:val="both"/>
        <w:rPr>
          <w:lang w:val="ro-RO"/>
        </w:rPr>
      </w:pPr>
    </w:p>
    <w:p w:rsidR="00EC1357" w:rsidRDefault="00EC1357" w:rsidP="00EC1357">
      <w:pPr>
        <w:spacing w:after="0"/>
        <w:jc w:val="both"/>
        <w:rPr>
          <w:lang w:val="ro-RO"/>
        </w:rPr>
      </w:pPr>
      <w:r>
        <w:rPr>
          <w:lang w:val="ro-RO"/>
        </w:rPr>
        <w:t xml:space="preserve">De asemenea, selecţia pentru finanţarea de propuneri de proiecte ar putea să se bazeze pe „interesul pentru utilizatorii potenţiali” şi pe potenţialul comercial al rezultatelor intenţionate. În practică, aceasta înseamnă că un proiect care solicită susţinere financiară trebuie să fie „orientat spre cerere”: răspunde unei nevoi bine definite (a industriei sau a societăţii) şi există un potenţial „utilizator” care se uită la acele rezultate şi care le va traduce în produse noi, procese sau servicii valoroase pentru o piaţă globală. Un criteriu pentru măsurarea impactului care promovează accesul partenerilor din regiunile de </w:t>
      </w:r>
      <w:r>
        <w:rPr>
          <w:lang w:val="ro-RO"/>
        </w:rPr>
        <w:lastRenderedPageBreak/>
        <w:t>convergenţă în cadrul consorţiilor proiectului este foarte binevenit în contextul consolidării SEC în toate regiunile UE.</w:t>
      </w:r>
    </w:p>
    <w:p w:rsidR="00EC1357" w:rsidRDefault="00EC1357" w:rsidP="00EC1357">
      <w:pPr>
        <w:spacing w:after="0"/>
        <w:jc w:val="both"/>
        <w:rPr>
          <w:lang w:val="ro-RO"/>
        </w:rPr>
      </w:pPr>
    </w:p>
    <w:p w:rsidR="00EC1357" w:rsidRPr="00257202" w:rsidRDefault="00EC1357" w:rsidP="00EC1357">
      <w:pPr>
        <w:spacing w:after="0"/>
        <w:jc w:val="both"/>
        <w:rPr>
          <w:lang w:val="ro-RO"/>
        </w:rPr>
      </w:pPr>
      <w:r>
        <w:rPr>
          <w:lang w:val="ro-RO"/>
        </w:rPr>
        <w:t>O participare echilibrată geografic a evaluatorilor şi a altor experţi, inclusiv a femeilor, în procesul de evaluare şi în alte activităţi de monitorizare, consultare, administrare, evaluare şi control ar trebui asigurată în viitorul PC.</w:t>
      </w:r>
    </w:p>
    <w:sectPr w:rsidR="00EC1357" w:rsidRPr="00257202" w:rsidSect="002E0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0237C"/>
    <w:multiLevelType w:val="hybridMultilevel"/>
    <w:tmpl w:val="FBE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74B24"/>
    <w:multiLevelType w:val="hybridMultilevel"/>
    <w:tmpl w:val="D936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018E0"/>
    <w:multiLevelType w:val="hybridMultilevel"/>
    <w:tmpl w:val="F2E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E3575F"/>
    <w:multiLevelType w:val="hybridMultilevel"/>
    <w:tmpl w:val="3D3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E509D"/>
    <w:multiLevelType w:val="hybridMultilevel"/>
    <w:tmpl w:val="BF8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63BF6"/>
    <w:rsid w:val="00117791"/>
    <w:rsid w:val="00136235"/>
    <w:rsid w:val="00140AC9"/>
    <w:rsid w:val="00257202"/>
    <w:rsid w:val="00290D9B"/>
    <w:rsid w:val="002D6D15"/>
    <w:rsid w:val="002E0170"/>
    <w:rsid w:val="003000DE"/>
    <w:rsid w:val="003F43F0"/>
    <w:rsid w:val="00531A58"/>
    <w:rsid w:val="00663BF6"/>
    <w:rsid w:val="006A04A0"/>
    <w:rsid w:val="00821647"/>
    <w:rsid w:val="0093620E"/>
    <w:rsid w:val="00A02063"/>
    <w:rsid w:val="00A66F77"/>
    <w:rsid w:val="00A94A1C"/>
    <w:rsid w:val="00C91664"/>
    <w:rsid w:val="00DD1F51"/>
    <w:rsid w:val="00E958E6"/>
    <w:rsid w:val="00EC1357"/>
    <w:rsid w:val="00FD6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Arici</dc:creator>
  <cp:lastModifiedBy>RaduM</cp:lastModifiedBy>
  <cp:revision>2</cp:revision>
  <dcterms:created xsi:type="dcterms:W3CDTF">2013-09-27T01:11:00Z</dcterms:created>
  <dcterms:modified xsi:type="dcterms:W3CDTF">2013-09-27T01:11:00Z</dcterms:modified>
</cp:coreProperties>
</file>